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41A4" w14:textId="77777777"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E82E8E6D9F24A04AE1F1DFCBDE7C0F3"/>
        </w:placeholder>
        <w15:appearance w15:val="hidden"/>
        <w:text/>
      </w:sdtPr>
      <w:sdtEndPr/>
      <w:sdtContent>
        <w:p w14:paraId="142BF6A4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5D436AF6734E4D2CAA4A6519701C4E30"/>
        </w:placeholder>
      </w:sdtPr>
      <w:sdtEndPr>
        <w:rPr>
          <w:rStyle w:val="FrslagstextChar"/>
        </w:rPr>
      </w:sdtEndPr>
      <w:sdtContent>
        <w:p w14:paraId="75A19EAF" w14:textId="77777777" w:rsidR="007C780D" w:rsidRPr="0009151C" w:rsidRDefault="008D61C4" w:rsidP="00657FDD">
          <w:pPr>
            <w:pStyle w:val="Frslagstext"/>
            <w:numPr>
              <w:ilvl w:val="0"/>
              <w:numId w:val="0"/>
            </w:numPr>
          </w:pPr>
          <w:r w:rsidRPr="0009151C">
            <w:rPr>
              <w:rStyle w:val="FrslagstextChar"/>
            </w:rPr>
            <w:t>Riksdagen ställer sig bakom det som anförs i motionen om en översyn av statens stöd till organisationer och tillkännager detta för regeringen.</w:t>
          </w:r>
        </w:p>
      </w:sdtContent>
    </w:sdt>
    <w:p w14:paraId="545186C0" w14:textId="77777777"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14:paraId="56AB523C" w14:textId="77777777" w:rsidR="008D61C4" w:rsidRDefault="008D61C4" w:rsidP="008D61C4">
      <w:pPr>
        <w:pStyle w:val="Normalutanindragellerluft"/>
      </w:pPr>
      <w:bookmarkStart w:id="1" w:name="_GoBack"/>
      <w:bookmarkEnd w:id="1"/>
      <w:r>
        <w:t xml:space="preserve">Av och till diskuteras statens stöd till olika organisationer. Det handlar om allt från fusk med medlemsantal till organisationernas påstådda demokratiska eller i övrigt olämpliga ändamål. </w:t>
      </w:r>
    </w:p>
    <w:p w14:paraId="057EA383" w14:textId="77777777" w:rsidR="00AF30DD" w:rsidRDefault="008D61C4" w:rsidP="008D61C4">
      <w:r>
        <w:t xml:space="preserve">Det är dags för en grundläggande översyn av regelverket för stöd till organisationer och en djupgående analys av den ansvariga myndighetens (MUCF) verksamhet.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6F2171CE16F45F69876C41CD5DCB261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657FDD" w14:paraId="3D3A6AD3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13EF8535" w14:textId="77777777" w:rsidR="00657FDD" w:rsidRDefault="00657FDD" w:rsidP="00657FDD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66D61041" w14:textId="77777777" w:rsidR="00657FDD" w:rsidRDefault="00657FDD" w:rsidP="00657FDD">
                <w:pPr>
                  <w:ind w:firstLine="0"/>
                </w:pPr>
              </w:p>
            </w:tc>
          </w:tr>
        </w:tbl>
        <w:p w14:paraId="0353E200" w14:textId="0520F8FF" w:rsidR="00865E70" w:rsidRPr="00ED19F0" w:rsidRDefault="00657FDD" w:rsidP="00657FDD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E15C" w14:textId="77777777" w:rsidR="00226B7B" w:rsidRDefault="00226B7B" w:rsidP="000C1CAD">
      <w:pPr>
        <w:spacing w:line="240" w:lineRule="auto"/>
      </w:pPr>
      <w:r>
        <w:separator/>
      </w:r>
    </w:p>
  </w:endnote>
  <w:endnote w:type="continuationSeparator" w:id="0">
    <w:p w14:paraId="4D4AF42E" w14:textId="77777777" w:rsidR="00226B7B" w:rsidRDefault="00226B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001F9" w14:textId="77777777" w:rsidR="0009151C" w:rsidRDefault="0009151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DD7C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276" w14:textId="77777777" w:rsidR="00EB0FEF" w:rsidRDefault="00EB0FE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201509281327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D85B" w14:textId="77777777" w:rsidR="00226B7B" w:rsidRDefault="00226B7B" w:rsidP="000C1CAD">
      <w:pPr>
        <w:spacing w:line="240" w:lineRule="auto"/>
      </w:pPr>
      <w:r>
        <w:separator/>
      </w:r>
    </w:p>
  </w:footnote>
  <w:footnote w:type="continuationSeparator" w:id="0">
    <w:p w14:paraId="31E521FE" w14:textId="77777777" w:rsidR="00226B7B" w:rsidRDefault="00226B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6C15" w14:textId="77777777" w:rsidR="0009151C" w:rsidRDefault="0009151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C751" w14:textId="77777777" w:rsidR="0009151C" w:rsidRDefault="0009151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A96E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3CDE9077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41590537" w14:textId="77777777" w:rsidR="00A42228" w:rsidRDefault="00EB0FEF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8D61C4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0F29DC9C" w14:textId="77777777" w:rsidR="00A42228" w:rsidRDefault="00EB0FEF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8D61C4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401070A" w14:textId="77777777" w:rsidR="00A42228" w:rsidRDefault="008D61C4" w:rsidP="00283E0F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4677F794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D61C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151C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6B7B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30D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67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7FDD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76FB5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61C4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08E8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FE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30F73"/>
  <w15:chartTrackingRefBased/>
  <w15:docId w15:val="{923ECDFE-4348-4BC9-8544-0284125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82E8E6D9F24A04AE1F1DFCBDE7C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C2CF3-8535-48D0-B98D-8836AD0CFFBB}"/>
      </w:docPartPr>
      <w:docPartBody>
        <w:p w:rsidR="0098795A" w:rsidRDefault="004F08DA">
          <w:pPr>
            <w:pStyle w:val="AE82E8E6D9F24A04AE1F1DFCBDE7C0F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436AF6734E4D2CAA4A6519701C4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F1B65-1DBF-4E13-8181-FC3A4DCE9328}"/>
      </w:docPartPr>
      <w:docPartBody>
        <w:p w:rsidR="0098795A" w:rsidRDefault="004F08DA">
          <w:pPr>
            <w:pStyle w:val="5D436AF6734E4D2CAA4A6519701C4E3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6F2171CE16F45F69876C41CD5DCB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E7621-288C-4D00-B2B2-A19B36551F06}"/>
      </w:docPartPr>
      <w:docPartBody>
        <w:p w:rsidR="0098795A" w:rsidRDefault="004F08DA">
          <w:pPr>
            <w:pStyle w:val="76F2171CE16F45F69876C41CD5DCB26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DA"/>
    <w:rsid w:val="004F08DA"/>
    <w:rsid w:val="0085740B"/>
    <w:rsid w:val="009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82E8E6D9F24A04AE1F1DFCBDE7C0F3">
    <w:name w:val="AE82E8E6D9F24A04AE1F1DFCBDE7C0F3"/>
  </w:style>
  <w:style w:type="paragraph" w:customStyle="1" w:styleId="5D436AF6734E4D2CAA4A6519701C4E30">
    <w:name w:val="5D436AF6734E4D2CAA4A6519701C4E30"/>
  </w:style>
  <w:style w:type="paragraph" w:customStyle="1" w:styleId="76F2171CE16F45F69876C41CD5DCB261">
    <w:name w:val="76F2171CE16F45F69876C41CD5DCB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Översyn av statens stöd till organisationer</rubrik>
    <utgiftsomrade>för framtida bruk</utgiftsomrade>
    <riksmote xmlns="http://schemas.riksdagen.se/motion">2015/16</riksmote>
    <partikod xmlns="http://schemas.riksdagen.se/motion">M</partikod>
    <partinummer xmlns="http://schemas.riksdagen.se/motion">1517</partinummer>
    <underskriftsdatum>Stockholm den</underskriftsdatum>
    <kontaktperson>
      <namn/>
      <email xmlns="http://schemas.riksdagen.se/motion">christine.hanefalk@riksdagen.se</email>
    </kontaktperson>
    <checksumma>*29C4CE6D90E13*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w:rsidR="00657FDD"&gt;&lt;w:tblPrEx&gt;&lt;w:tblCellMar&gt;&lt;w:top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w:rsidR="00657FDD" w:rsidRDefault="00657FDD" w:rsidP="00657FDD"&gt;&lt;w:pPr&gt;&lt;w:ind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w:rsidR="00657FDD" w:rsidRDefault="00657FDD" w:rsidP="00657FDD"&gt;&lt;w:pPr&gt;&lt;w:ind w:firstLine="0"/&gt;&lt;/w:pPr&gt;&lt;/w:p&gt;&lt;/w:tc&gt;&lt;/w:tr&gt;&lt;/w:tbl&gt;&lt;w:p w:rsidR="00865E70" w:rsidRPr="00ED19F0" w:rsidRDefault="00657FDD" w:rsidP="00657FDD"&gt;&lt;w:pPr&gt;&lt;w:pStyle w:val="Normalutanindragellerluft"/&gt;&lt;/w:pPr&gt;&lt;w:r&gt;&lt;w:rPr&gt;&lt;w:i/&gt;&lt;/w:rPr&gt;&lt;w:t&gt;.&lt;/w:t&gt;&lt;/w:r&gt;&lt;/w:p&gt;&lt;w:p w:rsidR="00000000" w:rsidRDefault="005A382E"/&gt;&lt;w:sectPr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väcka&amp;#92;1517 Översyn av statens stöd till organisationer.docx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6753161-B68D-457A-979A-24B26D71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80</Words>
  <Characters>480</Characters>
  <Application>Microsoft Office Word</Application>
  <DocSecurity>0</DocSecurity>
  <Lines>13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201516M1517 Översyn av statens stöd till organisationer</vt:lpstr>
      <vt:lpstr/>
    </vt:vector>
  </TitlesOfParts>
  <Company>Sveriges riksdag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201516M1517 Översyn av statens stöd till organisationer</dc:title>
  <dc:subject/>
  <dc:creator>Christine Hanefalk</dc:creator>
  <cp:keywords/>
  <dc:description/>
  <cp:lastModifiedBy>Christine Hanefalk</cp:lastModifiedBy>
  <cp:revision>5</cp:revision>
  <cp:lastPrinted>2015-09-30T10:59:00Z</cp:lastPrinted>
  <dcterms:created xsi:type="dcterms:W3CDTF">2015-09-28T11:27:00Z</dcterms:created>
  <dcterms:modified xsi:type="dcterms:W3CDTF">2015-09-30T10:59:00Z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*29C4CE6D90E13*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